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5381"/>
      </w:tblGrid>
      <w:tr w:rsidR="00A24369" w:rsidRPr="00A24369" w:rsidTr="00A24369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A24369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538D3" wp14:editId="5ED2F52B">
                  <wp:extent cx="1333500" cy="2038350"/>
                  <wp:effectExtent l="0" t="0" r="0" b="0"/>
                  <wp:docPr id="1" name="Рисунок 1" descr="https://ds100.centerstart.ru/sites/ds100.centerstart.ru/files/archive/%D0%A0%D0%B5%D1%87%D0%B5%D0%B2%D0%BE%D0%B5%20%D1%80%D0%B0%D0%B7%D0%B2%D0%B8%D1%82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100.centerstart.ru/sites/ds100.centerstart.ru/files/archive/%D0%A0%D0%B5%D1%87%D0%B5%D0%B2%D0%BE%D0%B5%20%D1%80%D0%B0%D0%B7%D0%B2%D0%B8%D1%82%D0%B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Default="00A24369" w:rsidP="00A24369">
            <w:pPr>
              <w:tabs>
                <w:tab w:val="left" w:pos="3280"/>
              </w:tabs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Филичева Т.Б., Чиркина Г.В., Туманова Т.В. «Устранение общего недоразвития речи у детей дошкольного возраста». М., Издательство «Просвещение», 2008.</w:t>
            </w:r>
          </w:p>
          <w:p w:rsidR="00A24369" w:rsidRDefault="00A24369" w:rsidP="00A24369">
            <w:pPr>
              <w:tabs>
                <w:tab w:val="left" w:pos="3280"/>
              </w:tabs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tabs>
                <w:tab w:val="left" w:pos="3280"/>
              </w:tabs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tabs>
                <w:tab w:val="left" w:pos="3280"/>
              </w:tabs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tabs>
                <w:tab w:val="left" w:pos="3280"/>
              </w:tabs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tabs>
                <w:tab w:val="left" w:pos="3280"/>
              </w:tabs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Pr="00A24369" w:rsidRDefault="00A24369" w:rsidP="00A24369">
            <w:pPr>
              <w:tabs>
                <w:tab w:val="left" w:pos="32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69" w:rsidRPr="00A24369" w:rsidTr="00A24369">
        <w:trPr>
          <w:tblCellSpacing w:w="7" w:type="dxa"/>
        </w:trPr>
        <w:tc>
          <w:tcPr>
            <w:tcW w:w="8209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Социально-коммуникативное  развитие</w:t>
            </w:r>
          </w:p>
        </w:tc>
      </w:tr>
      <w:tr w:rsidR="00A24369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1D8E2" wp14:editId="42CCA507">
                  <wp:extent cx="1209675" cy="1762125"/>
                  <wp:effectExtent l="0" t="0" r="9525" b="9525"/>
                  <wp:docPr id="2" name="Рисунок 2" descr="https://ds100.centerstart.ru/sites/ds100.centerstart.ru/files/archive/%D0%A2%D1%8B%20%D0%9A%D1%83%D0%B1%D0%B0%D0%BD%D1%8C%20%D1%82%D1%8B%20%D0%BD%D0%B0%D1%88%D0%B0%20%D0%A0%D0%BE%D0%B4%D0%B8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100.centerstart.ru/sites/ds100.centerstart.ru/files/archive/%D0%A2%D1%8B%20%D0%9A%D1%83%D0%B1%D0%B0%D0%BD%D1%8C%20%D1%82%D1%8B%20%D0%BD%D0%B0%D1%88%D0%B0%20%D0%A0%D0%BE%D0%B4%D0%B8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Default="00A24369" w:rsidP="00A2436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Методическое пособие «Ты, Кубань, ты – наша Родина» </w:t>
            </w:r>
            <w:proofErr w:type="spell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В.А.Маркова</w:t>
            </w:r>
            <w:proofErr w:type="spellEnd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целью которой является формирование социокультурных ценностей нашего народа, начал гражданственности и патриотизма у дошкольников через знакомство с малой Родиной – Краснодарским краем</w:t>
            </w:r>
          </w:p>
          <w:p w:rsidR="00A24369" w:rsidRDefault="00A24369" w:rsidP="00A2436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Pr="00A24369" w:rsidRDefault="00A24369" w:rsidP="00A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69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A34F6" wp14:editId="7969DE47">
                  <wp:extent cx="1323975" cy="1905000"/>
                  <wp:effectExtent l="0" t="0" r="9525" b="0"/>
                  <wp:docPr id="3" name="Рисунок 3" descr="https://ds100.centerstart.ru/sites/ds100.centerstart.ru/files/archive/%D0%9E%D1%81%D0%BD%D0%BE%D0%B2%D1%8B%20%D0%B1%D0%B5%D0%B7%D0%BE%D0%BF%D0%B0%D1%81%D0%BD%D0%BE%D1%81%D1%82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100.centerstart.ru/sites/ds100.centerstart.ru/files/archive/%D0%9E%D1%81%D0%BD%D0%BE%D0%B2%D1%8B%20%D0%B1%D0%B5%D0%B7%D0%BE%D0%BF%D0%B0%D1%81%D0%BD%D0%BE%D1%81%D1%82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Default="00A24369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«Основы безопасности детей дошкольного возраста» </w:t>
            </w:r>
            <w:proofErr w:type="spell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Р.Б.Стеркиной</w:t>
            </w:r>
            <w:proofErr w:type="spellEnd"/>
            <w:proofErr w:type="gram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Н.Н.Авдеевой</w:t>
            </w:r>
            <w:proofErr w:type="spellEnd"/>
            <w:proofErr w:type="gramEnd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О.Л.Князевой</w:t>
            </w:r>
            <w:proofErr w:type="spellEnd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целью которой является формирование у детей знаний о правилах безопасного поведения и здоровом образе жизни.</w:t>
            </w:r>
          </w:p>
          <w:p w:rsidR="00A24369" w:rsidRDefault="00A24369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69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69" w:rsidRPr="00A24369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C25" w:rsidRPr="00A24369" w:rsidTr="007A71A3">
        <w:trPr>
          <w:tblCellSpacing w:w="7" w:type="dxa"/>
        </w:trPr>
        <w:tc>
          <w:tcPr>
            <w:tcW w:w="823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4C25" w:rsidRPr="00A24369" w:rsidRDefault="00BB4C25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Познавательное</w:t>
            </w:r>
            <w:r w:rsidRPr="00A24369">
              <w:rPr>
                <w:rFonts w:ascii="Georgia" w:eastAsia="Times New Roman" w:hAnsi="Georgia" w:cs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BB4C25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4C25" w:rsidRPr="00A24369" w:rsidRDefault="00BB4C25" w:rsidP="00A243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6C193">
                  <wp:extent cx="1450975" cy="21583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4C25" w:rsidRPr="00A24369" w:rsidRDefault="00BB4C25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7098D">
              <w:rPr>
                <w:rFonts w:ascii="Times New Roman" w:hAnsi="Times New Roman" w:cs="Times New Roman"/>
                <w:sz w:val="24"/>
                <w:szCs w:val="24"/>
              </w:rPr>
              <w:t>"Математические ступеньки. Программа развития математических представлений у дошкольников. ФГОС" Е.В. Колесниковой. Основная цель программы - формирование элементарных математических представлений у детей 3-7 лет, привить интерес к математике, развить математические способности ребенка; развитие познавательного интереса, логического мышления, внимания, памяти; приобретение детьми дошкольного возраста знаний о множестве, числе, величине, форме, пространстве и времени, как основы математического развития. Формирование навыков и умений в счете, вычислениях, измерениях, моделировании. Умение проявлять волевые усилия в процессе решения математических задач, воспитание аккуратности и самостоятельности.</w:t>
            </w:r>
          </w:p>
        </w:tc>
      </w:tr>
      <w:tr w:rsidR="00A24369" w:rsidRPr="00A24369" w:rsidTr="00A24369">
        <w:trPr>
          <w:tblCellSpacing w:w="7" w:type="dxa"/>
        </w:trPr>
        <w:tc>
          <w:tcPr>
            <w:tcW w:w="8209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Познавательное и физическое развитие</w:t>
            </w:r>
          </w:p>
        </w:tc>
      </w:tr>
      <w:tr w:rsidR="00A24369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E9990" wp14:editId="44A1CB30">
                  <wp:extent cx="1400175" cy="1990725"/>
                  <wp:effectExtent l="0" t="0" r="9525" b="9525"/>
                  <wp:docPr id="4" name="Рисунок 4" descr="https://ds100.centerstart.ru/sites/ds100.centerstart.ru/files/archive/%D0%A0%D0%B8%D1%81%D1%83%D0%BD%D0%BE%D0%B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100.centerstart.ru/sites/ds100.centerstart.ru/files/archive/%D0%A0%D0%B8%D1%81%D1%83%D0%BD%D0%BE%D0%B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4369" w:rsidRPr="00F244AD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</w:t>
            </w:r>
            <w:proofErr w:type="gramStart"/>
            <w:r w:rsidRPr="00F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под</w:t>
            </w:r>
            <w:proofErr w:type="gramEnd"/>
            <w:r w:rsidRPr="00F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 w:rsidRPr="00F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F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Комаровой Т.С., Васильевой М.А. – 3-е изд., </w:t>
            </w:r>
            <w:proofErr w:type="spellStart"/>
            <w:r w:rsidRPr="00F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 – Синтез, 2015. – 368. Цель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в соответствии с возрастными и индивидуальными особенностями, подготовка к жизни в современном обществе.</w:t>
            </w:r>
          </w:p>
          <w:p w:rsidR="00F244AD" w:rsidRPr="00F244AD" w:rsidRDefault="00F244AD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Default="00F244AD" w:rsidP="00A2436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244AD" w:rsidRPr="00A24369" w:rsidRDefault="00F244AD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69" w:rsidRPr="00A24369" w:rsidTr="00A24369">
        <w:trPr>
          <w:tblCellSpacing w:w="7" w:type="dxa"/>
        </w:trPr>
        <w:tc>
          <w:tcPr>
            <w:tcW w:w="8209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Художественно-эстетическое развитие </w:t>
            </w:r>
          </w:p>
        </w:tc>
      </w:tr>
      <w:tr w:rsidR="00A24369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4070E5" wp14:editId="12BD2041">
                  <wp:extent cx="1333500" cy="1981200"/>
                  <wp:effectExtent l="0" t="0" r="0" b="0"/>
                  <wp:docPr id="6" name="Рисунок 6" descr="https://ds100.centerstart.ru/sites/ds100.centerstart.ru/files/archive/%D0%A0%D0%B8%D1%81%D1%83%D0%BD%D0%BE%D0%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100.centerstart.ru/sites/ds100.centerstart.ru/files/archive/%D0%A0%D0%B8%D1%81%D1%83%D0%BD%D0%BE%D0%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Авторская программа «Цветные ладошки» </w:t>
            </w:r>
            <w:proofErr w:type="spell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И.А.Лыкова</w:t>
            </w:r>
            <w:proofErr w:type="spellEnd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для детей 2-7 лет, целью которой является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      </w:r>
          </w:p>
        </w:tc>
      </w:tr>
      <w:tr w:rsidR="00A24369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9D309" wp14:editId="71E1C520">
                  <wp:extent cx="1590675" cy="2249125"/>
                  <wp:effectExtent l="0" t="0" r="0" b="0"/>
                  <wp:docPr id="12" name="Рисунок 12" descr="https://mdou5.68edu.ru/images000/nas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5.68edu.ru/images000/nas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20" cy="225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Default="00A24369" w:rsidP="00A24369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211E1E"/>
                <w:sz w:val="21"/>
                <w:szCs w:val="21"/>
              </w:rPr>
            </w:pPr>
            <w:r w:rsidRPr="0017098D">
              <w:rPr>
                <w:rStyle w:val="a5"/>
                <w:bCs/>
                <w:i w:val="0"/>
                <w:color w:val="211E1E"/>
              </w:rPr>
              <w:t>Программа «</w:t>
            </w:r>
            <w:proofErr w:type="gramStart"/>
            <w:r w:rsidRPr="0017098D">
              <w:rPr>
                <w:rStyle w:val="a5"/>
                <w:bCs/>
                <w:i w:val="0"/>
                <w:color w:val="211E1E"/>
              </w:rPr>
              <w:t>Гармония»</w:t>
            </w:r>
            <w:r w:rsidRPr="0017098D">
              <w:rPr>
                <w:rStyle w:val="a5"/>
                <w:b/>
                <w:bCs/>
                <w:color w:val="211E1E"/>
              </w:rPr>
              <w:t> </w:t>
            </w:r>
            <w:r w:rsidRPr="0017098D">
              <w:rPr>
                <w:rStyle w:val="a4"/>
                <w:b w:val="0"/>
                <w:color w:val="211E1E"/>
              </w:rPr>
              <w:t> Авторы</w:t>
            </w:r>
            <w:proofErr w:type="gramEnd"/>
            <w:r w:rsidRPr="0017098D">
              <w:rPr>
                <w:rStyle w:val="a4"/>
                <w:b w:val="0"/>
                <w:color w:val="211E1E"/>
              </w:rPr>
              <w:t>: К. В. Тарасова, ТВ. Нестеренко, Т.Г. Рубан</w:t>
            </w:r>
            <w:r w:rsidRPr="001A7CE7">
              <w:rPr>
                <w:rStyle w:val="a4"/>
                <w:color w:val="211E1E"/>
              </w:rPr>
              <w:t>. </w:t>
            </w:r>
            <w:r w:rsidRPr="001A7CE7">
              <w:rPr>
                <w:b/>
                <w:bCs/>
                <w:color w:val="211E1E"/>
              </w:rPr>
              <w:br/>
            </w:r>
            <w:r w:rsidRPr="001A7CE7">
              <w:rPr>
                <w:color w:val="211E1E"/>
              </w:rPr>
              <w:t>Цель: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 </w:t>
            </w:r>
            <w:r w:rsidRPr="001A7CE7">
              <w:rPr>
                <w:color w:val="211E1E"/>
              </w:rPr>
              <w:br/>
              <w:t>Особенность программы заключается в том, что она основана на результатах многолетних научных исследований развития музыкальных способностей. </w:t>
            </w:r>
            <w:r w:rsidRPr="001A7CE7">
              <w:rPr>
                <w:color w:val="211E1E"/>
              </w:rPr>
              <w:br/>
              <w:t>В программе реализуется всесторонний целостный подход к музыкальному развитию дошкольника. Предлагаемый авторами импровизированный характер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</w:t>
            </w:r>
            <w:r>
              <w:rPr>
                <w:rFonts w:ascii="Tahoma" w:hAnsi="Tahoma" w:cs="Tahoma"/>
                <w:color w:val="211E1E"/>
                <w:sz w:val="21"/>
                <w:szCs w:val="21"/>
              </w:rPr>
              <w:t>. </w:t>
            </w:r>
          </w:p>
          <w:p w:rsidR="00A24369" w:rsidRPr="00A24369" w:rsidRDefault="00A24369" w:rsidP="00A243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69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480D3A" wp14:editId="1ECE26C0">
                  <wp:extent cx="1295400" cy="1905000"/>
                  <wp:effectExtent l="0" t="0" r="0" b="0"/>
                  <wp:docPr id="10" name="Рисунок 10" descr="https://ds100.centerstart.ru/sites/ds100.centerstart.ru/files/archive/%D0%9B%D0%BE%D0%B3%D0%BE%D1%80%D0%B8%D1%82%D0%BC%D0%B8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100.centerstart.ru/sites/ds100.centerstart.ru/files/archive/%D0%9B%D0%BE%D0%B3%D0%BE%D1%80%D0%B8%D1%82%D0%BC%D0%B8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Семенихина</w:t>
            </w:r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Н.Ю</w:t>
            </w:r>
            <w:proofErr w:type="spellEnd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Комплекс  </w:t>
            </w:r>
            <w:proofErr w:type="spell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логоритмических</w:t>
            </w:r>
            <w:proofErr w:type="spellEnd"/>
            <w:proofErr w:type="gramEnd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занятий в 2х частях. Методическое пособие, 2016г.</w:t>
            </w:r>
            <w:r w:rsidRPr="00A2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24369" w:rsidRPr="00A24369" w:rsidTr="00A24369">
        <w:trPr>
          <w:tblCellSpacing w:w="7" w:type="dxa"/>
        </w:trPr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03ED0" wp14:editId="4A98EBB6">
                  <wp:extent cx="1362075" cy="2028825"/>
                  <wp:effectExtent l="0" t="0" r="9525" b="9525"/>
                  <wp:docPr id="11" name="Рисунок 11" descr="https://ds100.centerstart.ru/sites/ds100.centerstart.ru/files/archive/%D0%9A%D1%83%D1%86%D0%B0%D0%BA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100.centerstart.ru/sites/ds100.centerstart.ru/files/archive/%D0%9A%D1%83%D1%86%D0%B0%D0%BA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4369" w:rsidRPr="00A24369" w:rsidRDefault="00A24369" w:rsidP="00A24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Авторская программа «Конструирование и художественный труд в детском саду» Л.В. </w:t>
            </w:r>
            <w:proofErr w:type="spellStart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Куцаковой</w:t>
            </w:r>
            <w:proofErr w:type="spellEnd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A2436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детей 3-5 лет, целью которой является развитие конструктивных и художественных способностей детей, воспитание трудолюбия и эстетического вкуса.</w:t>
            </w:r>
          </w:p>
        </w:tc>
      </w:tr>
    </w:tbl>
    <w:p w:rsidR="00AD3959" w:rsidRDefault="00AD3959"/>
    <w:sectPr w:rsidR="00AD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08"/>
    <w:rsid w:val="00165508"/>
    <w:rsid w:val="00A24369"/>
    <w:rsid w:val="00AD3959"/>
    <w:rsid w:val="00BB4C25"/>
    <w:rsid w:val="00F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3802"/>
  <w15:chartTrackingRefBased/>
  <w15:docId w15:val="{FC19DED5-EE96-49BD-816C-5AB365F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369"/>
    <w:rPr>
      <w:b/>
      <w:bCs/>
    </w:rPr>
  </w:style>
  <w:style w:type="character" w:styleId="a5">
    <w:name w:val="Emphasis"/>
    <w:basedOn w:val="a0"/>
    <w:uiPriority w:val="20"/>
    <w:qFormat/>
    <w:rsid w:val="00A24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9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49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7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5</cp:revision>
  <dcterms:created xsi:type="dcterms:W3CDTF">2021-01-27T15:43:00Z</dcterms:created>
  <dcterms:modified xsi:type="dcterms:W3CDTF">2021-01-28T08:30:00Z</dcterms:modified>
</cp:coreProperties>
</file>